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Politica di sicurezza informatica</w:t>
      </w:r>
    </w:p>
    <w:p>
      <w:r>
        <w:rPr>
          <w:b/>
        </w:rPr>
        <w:t xml:space="preserve">[Nome dell'organizzazione]</w:t>
      </w:r>
    </w:p>
    <w:p>
      <w:r>
        <w:t xml:space="preserve">Modello gratuito di Epic Assess basato sulla misura ACN GV.PO-01 (Det. ACN 379907/2025). Aggiornato al 23 settembre 2026.</w:t>
      </w:r>
    </w:p>
    <w:p>
      <w:pPr>
        <w:pStyle w:val="Nota"/>
      </w:pPr>
      <w:r>
        <w:t xml:space="preserve">Nota d'uso. Questi modelli sono forniti gratuitamente da Mokka Studios a scopo informativo, come punto di partenza. Non sono una consulenza legale né tecnica e non garantiscono la conformità al D.Lgs. 138/2024 o alle determinazioni dell'ACN: vanno adattati alla tua organizzazione, verificati da chi ne ha la competenza e approvati dagli organi di amministrazione. Fanno fede i testi ufficiali pubblicati su normattiva.it e acn.gov.it. Mokka Studios non risponde dell'uso che ne viene fatto. Aggiornati al 23 settembre 2026 (Det. ACN 379907/2025).</w:t>
      </w:r>
    </w:p>
    <w:p>
      <w:pPr>
        <w:pStyle w:val="Heading2"/>
      </w:pPr>
      <w:r>
        <w:t xml:space="preserve">Controllo del documento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0" w:type="auto"/>
          </w:tcPr>
          <w:p>
            <w:r>
              <w:t xml:space="preserve">Versione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[1.0]</w:t>
            </w:r>
          </w:p>
        </w:tc>
      </w:tr>
      <w:tr>
        <w:tc>
          <w:tcPr>
            <w:tcW w:w="0" w:type="auto"/>
          </w:tcPr>
          <w:p>
            <w:r>
              <w:t xml:space="preserve">Data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[gg/mm/aaaa]</w:t>
            </w:r>
          </w:p>
        </w:tc>
      </w:tr>
      <w:tr>
        <w:tc>
          <w:tcPr>
            <w:tcW w:w="0" w:type="auto"/>
          </w:tcPr>
          <w:p>
            <w:r>
              <w:t xml:space="preserve">Redatto da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[Nome, ruolo]</w:t>
            </w:r>
          </w:p>
        </w:tc>
      </w:tr>
      <w:tr>
        <w:tc>
          <w:tcPr>
            <w:tcW w:w="0" w:type="auto"/>
          </w:tcPr>
          <w:p>
            <w:r>
              <w:t xml:space="preserve">Approvato da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[Organo di amministrazione]</w:t>
            </w:r>
          </w:p>
        </w:tc>
      </w:tr>
      <w:tr>
        <w:tc>
          <w:tcPr>
            <w:tcW w:w="0" w:type="auto"/>
          </w:tcPr>
          <w:p>
            <w:r>
              <w:t xml:space="preserve">Data di approvazione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[gg/mm/aaaa, riferimento della delibera]</w:t>
            </w:r>
          </w:p>
        </w:tc>
      </w:tr>
      <w:tr>
        <w:tc>
          <w:tcPr>
            <w:tcW w:w="0" w:type="auto"/>
          </w:tcPr>
          <w:p>
            <w:r>
              <w:t xml:space="preserve">Prossimo riesame</w:t>
            </w:r>
          </w:p>
        </w:tc>
        <w:tc>
          <w:tcPr>
            <w:tcW w:w="0" w:type="auto"/>
          </w:tcPr>
          <w:p>
            <w:r>
              <w:rPr>
                <w:highlight w:val="yellow"/>
              </w:rPr>
              <w:t xml:space="preserve">[gg/mm/aaaa]</w:t>
            </w:r>
          </w:p>
        </w:tc>
      </w:tr>
    </w:tbl>
    <w:p/>
    <w:p>
      <w:pPr>
        <w:pStyle w:val="Heading2"/>
      </w:pPr>
      <w:r>
        <w:t xml:space="preserve">Come usare questo modello</w:t>
      </w:r>
    </w:p>
    <w:p>
      <w:pPr>
        <w:pStyle w:val="Voce"/>
      </w:pPr>
      <w:r>
        <w:t xml:space="preserve">• Sostituisci le parti tra parentesi quadre con i dati della tua organizzazione.</w:t>
      </w:r>
    </w:p>
    <w:p>
      <w:pPr>
        <w:pStyle w:val="Voce"/>
      </w:pPr>
      <w:r>
        <w:t xml:space="preserve">• Togli ciò che non ti riguarda e aggiungi ciò che manca: un modello è un punto di partenza, non la tua politica.</w:t>
      </w:r>
    </w:p>
    <w:p>
      <w:pPr>
        <w:pStyle w:val="Voce"/>
      </w:pPr>
      <w:r>
        <w:t xml:space="preserve">• Fai approvare il documento agli organi di amministrazione e conserva la prova dell'approvazione: la chiedono le misure GV.PO-01 e RS.MA-01.</w:t>
      </w:r>
    </w:p>
    <w:p>
      <w:pPr>
        <w:pStyle w:val="Voce"/>
      </w:pPr>
      <w:r>
        <w:t xml:space="preserve">• Metti in calendario il riesame: le politiche almeno una volta l'anno (GV.PO-02), il piano incidenti almeno ogni due anni (RS.MA-01).</w:t>
      </w:r>
    </w:p>
    <w:p>
      <w:pPr>
        <w:pStyle w:val="Istruzione"/>
      </w:pPr>
      <w:r>
        <w:t xml:space="preserve">Le parti evidenziate in giallo tra parentesi quadre sono da compilare. Le righe in corsivo sono istruzioni: cancellale quando hai finito.</w:t>
      </w:r>
    </w:p>
    <w:p>
      <w:r>
        <w:br w:type="page"/>
      </w:r>
    </w:p>
    <w:p>
      <w:pPr>
        <w:pStyle w:val="Heading1"/>
      </w:pPr>
      <w:r>
        <w:t xml:space="preserve">1. Scopo e principi</w:t>
      </w:r>
    </w:p>
    <w:p>
      <w:pPr>
        <w:pStyle w:val="Istruzione"/>
      </w:pPr>
      <w:r>
        <w:t xml:space="preserve">Perché esiste questa politica e quali principi guida l'organizzazione (riservatezza, integrità, disponibilità dei sistemi e dei servizi).</w:t>
      </w:r>
    </w:p>
    <w:p>
      <w:r>
        <w:rPr>
          <w:highlight w:val="yellow"/>
        </w:rPr>
        <w:t xml:space="preserve">[Nome dell'organizzazione]</w:t>
      </w:r>
      <w:r>
        <w:t xml:space="preserve"> adotta questa politica per </w:t>
      </w:r>
      <w:r>
        <w:rPr>
          <w:highlight w:val="yellow"/>
        </w:rPr>
        <w:t xml:space="preserve">[scopo]</w:t>
      </w:r>
      <w:r>
        <w:t xml:space="preserve">.</w:t>
      </w:r>
    </w:p>
    <w:p>
      <w:pPr>
        <w:pStyle w:val="Heading1"/>
      </w:pPr>
      <w:r>
        <w:t xml:space="preserve">2. Ambito</w:t>
      </w:r>
    </w:p>
    <w:p>
      <w:r>
        <w:t xml:space="preserve">Si applica a </w:t>
      </w:r>
      <w:r>
        <w:rPr>
          <w:highlight w:val="yellow"/>
        </w:rPr>
        <w:t xml:space="preserve">[sedi, persone, sistemi informativi e di rete, fornitori coinvolti]</w:t>
      </w:r>
      <w:r>
        <w:t xml:space="preserve">.</w:t>
      </w:r>
    </w:p>
    <w:p>
      <w:pPr>
        <w:pStyle w:val="Heading1"/>
      </w:pPr>
      <w:r>
        <w:t xml:space="preserve">3. Ruoli</w:t>
      </w:r>
    </w:p>
    <w:p>
      <w:pPr>
        <w:pStyle w:val="Istruzione"/>
      </w:pPr>
      <w:r>
        <w:t xml:space="preserve">Rimanda al documento sull'organizzazione per la sicurezza informatica (misura GV.RR-02) invece di ripeterlo.</w:t>
      </w:r>
    </w:p>
    <w:p>
      <w:r>
        <w:t xml:space="preserve">Ruoli e responsabilità sono definiti in </w:t>
      </w:r>
      <w:r>
        <w:rPr>
          <w:highlight w:val="yellow"/>
        </w:rPr>
        <w:t xml:space="preserve">[riferimento al documento di organizzazione per la sicurezza informatica]</w:t>
      </w:r>
      <w:r>
        <w:t xml:space="preserve">.</w:t>
      </w:r>
    </w:p>
    <w:p>
      <w:pPr>
        <w:pStyle w:val="Heading1"/>
      </w:pPr>
      <w:r>
        <w:t xml:space="preserve">4. I 16 ambiti richiesti dalle misure di base</w:t>
      </w:r>
    </w:p>
    <w:p>
      <w:pPr>
        <w:pStyle w:val="Nota"/>
      </w:pPr>
      <w:r>
        <w:t xml:space="preserve">Requisito ACN GV.PO-01, punto 1: «Sono adottate e documentate politiche di sicurezza informatica per almeno i seguenti ambiti: a) gestione del rischio; b) ruoli e responsabilità; c) affidabilità delle risorse umane; d) conformità e audit di sicurezza; e) gestione dei rischi per la sicurezza informatica della catena di approvvigionamento; f) gestione degli asset; g) gestione delle vulnerabilità; h) continuità operativa, ripristino in caso di disastro e gestione delle crisi informatiche; i) gestione dell'autenticazione, delle identità digitali e del controllo accessi; j) sicurezza fisica; k) formazione del personale e consapevolezza; l) sicurezza dei dati; m) sviluppo, configurazione, manutenzione e dismissione dei sistemi informativi e di rete; n) protezione delle reti e delle comunicazioni; o) monitoraggio degli eventi di sicurezza; p) risposta agli incidenti e ripristino.»</w:t>
      </w:r>
    </w:p>
    <w:p>
      <w:pPr>
        <w:pStyle w:val="Nota"/>
      </w:pPr>
      <w:r>
        <w:t xml:space="preserve">Requisito ACN GV.PO-01, punto 2: «Per gli ambiti di cui al punto 1 sono incluse almeno le politiche in relazione ai requisiti indicati nella tabella 1 in appendice al presente allegato.»</w:t>
      </w:r>
    </w:p>
    <w:p>
      <w:pPr>
        <w:pStyle w:val="Istruzione"/>
      </w:pPr>
      <w:r>
        <w:t xml:space="preserve">Sotto ogni ambito trovi le misure ACN collegate, secondo la colonna «Ambiti politiche» degli Allegati 1 e 2 della Det. ACN 379907/2025. I requisiti puntuali delle politiche sono nella tabella 1 in appendice agli allegati: tienila aperta mentre scrivi.</w:t>
      </w:r>
    </w:p>
    <w:p>
      <w:pPr>
        <w:pStyle w:val="Heading2"/>
      </w:pPr>
      <w:r>
        <w:t xml:space="preserve">a) Gestione del rischio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GV.OC-04: Un elenco aggiornato dei sistemi informativi e di rete rilevanti</w:t>
      </w:r>
    </w:p>
    <w:p>
      <w:pPr>
        <w:pStyle w:val="Voce"/>
      </w:pPr>
      <w:r>
        <w:t xml:space="preserve">• GV.RM-03: Un piano di gestione dei rischi per identificare, analizzare, valutare, trattare e monitorare i rischi</w:t>
      </w:r>
    </w:p>
    <w:p>
      <w:pPr>
        <w:pStyle w:val="Voce"/>
      </w:pPr>
      <w:r>
        <w:t xml:space="preserve">• ID.RA-05: Valutazione del rischio documentata, almeno ogni due anni e dopo eventi rilevanti</w:t>
      </w:r>
    </w:p>
    <w:p>
      <w:pPr>
        <w:pStyle w:val="Voce"/>
      </w:pPr>
      <w:r>
        <w:t xml:space="preserve">• ID.RA-06: Piano di trattamento dei rischi, con eventuali misure compensative e rischi residui accettati</w:t>
      </w:r>
    </w:p>
    <w:p>
      <w:pPr>
        <w:pStyle w:val="Heading2"/>
      </w:pPr>
      <w:r>
        <w:t xml:space="preserve">b) Ruoli e responsabilità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GV.RR-02: L'organizzazione per la sicurezza informatica, con ruoli, elenco del personale, punto di contatto, sostituto e referente CSIRT; riesame almeno ogni due anni</w:t>
      </w:r>
    </w:p>
    <w:p>
      <w:pPr>
        <w:pStyle w:val="Heading2"/>
      </w:pPr>
      <w:r>
        <w:t xml:space="preserve">c) Affidabilità delle risorse umane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GV.RR-04: Selezione affidabile di chi accede ai sistemi rilevanti e degli amministratori di sistema; obblighi di riservatezza che restano dopo la fine del rapporto</w:t>
      </w:r>
    </w:p>
    <w:p>
      <w:pPr>
        <w:pStyle w:val="Heading2"/>
      </w:pPr>
      <w:r>
        <w:t xml:space="preserve">d) Conformità e audit di sicurezza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GV.PO-01: Politiche di sicurezza per 16 ambiti, dalla gestione del rischio alla risposta agli incidenti</w:t>
      </w:r>
    </w:p>
    <w:p>
      <w:pPr>
        <w:pStyle w:val="Voce"/>
      </w:pPr>
      <w:r>
        <w:t xml:space="preserve">• GV.PO-02: Riesame delle politiche almeno una volta l'anno e dopo eventi rilevanti, con registro degli esiti</w:t>
      </w:r>
    </w:p>
    <w:p>
      <w:pPr>
        <w:pStyle w:val="Voce"/>
      </w:pPr>
      <w:r>
        <w:t xml:space="preserve">• ID.IM-01: Piano di adeguamento, relazioni periodiche agli organi, piano di valutazione dell'efficacia delle misure</w:t>
      </w:r>
    </w:p>
    <w:p>
      <w:pPr>
        <w:pStyle w:val="Heading2"/>
      </w:pPr>
      <w:r>
        <w:t xml:space="preserve">e) Gestione dei rischi per la sicurezza informatica della catena di approvvigionamento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GV.SC-01: Sicurezza informatica coinvolta negli acquisti e requisiti di sicurezza sulle forniture</w:t>
      </w:r>
    </w:p>
    <w:p>
      <w:pPr>
        <w:pStyle w:val="Voce"/>
      </w:pPr>
      <w:r>
        <w:t xml:space="preserve">• GV.SC-02: Ruoli di sicurezza del personale di terze parti definiti e noti</w:t>
      </w:r>
    </w:p>
    <w:p>
      <w:pPr>
        <w:pStyle w:val="Voce"/>
      </w:pPr>
      <w:r>
        <w:t xml:space="preserve">• GV.SC-04: Inventario dei fornitori con impatto sulla sicurezza, con referente e tipo di fornitura</w:t>
      </w:r>
    </w:p>
    <w:p>
      <w:pPr>
        <w:pStyle w:val="Voce"/>
      </w:pPr>
      <w:r>
        <w:t xml:space="preserve">• GV.SC-05: Requisiti di sicurezza inseriti in richieste d'offerta, bandi e contratti</w:t>
      </w:r>
    </w:p>
    <w:p>
      <w:pPr>
        <w:pStyle w:val="Voce"/>
      </w:pPr>
      <w:r>
        <w:t xml:space="preserve">• GV.SC-07: Valutazione del rischio di ogni fornitura e verifica periodica dei requisiti</w:t>
      </w:r>
    </w:p>
    <w:p>
      <w:pPr>
        <w:pStyle w:val="Heading2"/>
      </w:pPr>
      <w:r>
        <w:t xml:space="preserve">f) Gestione degli asset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ID.AM-01: Inventario dell'hardware, compresi dispositivi IoT, OT e mobili</w:t>
      </w:r>
    </w:p>
    <w:p>
      <w:pPr>
        <w:pStyle w:val="Voce"/>
      </w:pPr>
      <w:r>
        <w:t xml:space="preserve">• ID.AM-02: Inventario di servizi, sistemi e software, anche quelli usati via API</w:t>
      </w:r>
    </w:p>
    <w:p>
      <w:pPr>
        <w:pStyle w:val="Voce"/>
      </w:pPr>
      <w:r>
        <w:t xml:space="preserve">• ID.AM-03 (solo essenziali): Inventario dei flussi di rete tra i tuoi sistemi e l'esterno</w:t>
      </w:r>
    </w:p>
    <w:p>
      <w:pPr>
        <w:pStyle w:val="Voce"/>
      </w:pPr>
      <w:r>
        <w:t xml:space="preserve">• ID.AM-04: Inventario dei servizi informatici dei fornitori, cloud compreso</w:t>
      </w:r>
    </w:p>
    <w:p>
      <w:pPr>
        <w:pStyle w:val="Heading2"/>
      </w:pPr>
      <w:r>
        <w:t xml:space="preserve">g) Gestione delle vulnerabilità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ID.RA-01: Individuazione delle vulnerabilità, con vulnerability assessment o penetration test periodici e relazioni</w:t>
      </w:r>
    </w:p>
    <w:p>
      <w:pPr>
        <w:pStyle w:val="Voce"/>
      </w:pPr>
      <w:r>
        <w:t xml:space="preserve">• ID.RA-08: Monitoraggio dei canali di CSIRT Italia e CERT, correzione delle vulnerabilità, piano di gestione delle vulnerabilità</w:t>
      </w:r>
    </w:p>
    <w:p>
      <w:pPr>
        <w:pStyle w:val="Heading2"/>
      </w:pPr>
      <w:r>
        <w:t xml:space="preserve">h) Continuità operativa, ripristino in caso di disastro e gestione delle crisi informatiche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ID.IM-04: Piani di continuità operativa, di ripristino in caso di disastro e di gestione delle crisi</w:t>
      </w:r>
    </w:p>
    <w:p>
      <w:pPr>
        <w:pStyle w:val="Heading2"/>
      </w:pPr>
      <w:r>
        <w:t xml:space="preserve">i) Gestione dell'autenticazione, delle identità digitali e del controllo accessi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PR.AA-01: Utenze censite e individuali, credenziali robuste, revisione periodica delle autorizzazioni</w:t>
      </w:r>
    </w:p>
    <w:p>
      <w:pPr>
        <w:pStyle w:val="Voce"/>
      </w:pPr>
      <w:r>
        <w:t xml:space="preserve">• PR.AA-03: Autenticazione commisurata al rischio e autenticazione a più fattori sui sistemi rilevanti</w:t>
      </w:r>
    </w:p>
    <w:p>
      <w:pPr>
        <w:pStyle w:val="Voce"/>
      </w:pPr>
      <w:r>
        <w:t xml:space="preserve">• PR.AA-05: Minimo privilegio, separazione dei compiti, utenze amministrative distinte</w:t>
      </w:r>
    </w:p>
    <w:p>
      <w:pPr>
        <w:pStyle w:val="Voce"/>
      </w:pPr>
      <w:r>
        <w:t xml:space="preserve">• PR.IR-01: Accessi remoti definiti e protetti, elenco dei sistemi accessibili da remoto, firewall</w:t>
      </w:r>
    </w:p>
    <w:p>
      <w:pPr>
        <w:pStyle w:val="Heading2"/>
      </w:pPr>
      <w:r>
        <w:t xml:space="preserve">j) Sicurezza fisica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PR.AA-06: Accesso fisico protetto ai sistemi rilevanti</w:t>
      </w:r>
    </w:p>
    <w:p>
      <w:pPr>
        <w:pStyle w:val="Heading2"/>
      </w:pPr>
      <w:r>
        <w:t xml:space="preserve">k) Formazione del personale e consapevolezza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PR.AT-01: Piano di formazione per il personale e gli organi di amministrazione, con registro</w:t>
      </w:r>
    </w:p>
    <w:p>
      <w:pPr>
        <w:pStyle w:val="Voce"/>
      </w:pPr>
      <w:r>
        <w:t xml:space="preserve">• PR.AT-02 (solo essenziali): Formazione dedicata a ruoli specializzati e amministratori di sistema</w:t>
      </w:r>
    </w:p>
    <w:p>
      <w:pPr>
        <w:pStyle w:val="Heading2"/>
      </w:pPr>
      <w:r>
        <w:t xml:space="preserve">l) Sicurezza dei dati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PR.DS-01: Cifratura di portatili e supporti rimovibili; niente esecuzione automatica, scansione dei supporti</w:t>
      </w:r>
    </w:p>
    <w:p>
      <w:pPr>
        <w:pStyle w:val="Voce"/>
      </w:pPr>
      <w:r>
        <w:t xml:space="preserve">• PR.DS-02: Cifratura dei dati trasmessi verso l'esterno, comunicazioni voce e video comprese</w:t>
      </w:r>
    </w:p>
    <w:p>
      <w:pPr>
        <w:pStyle w:val="Voce"/>
      </w:pPr>
      <w:r>
        <w:t xml:space="preserve">• PR.DS-11: Backup periodici, copie offline, protezione dei backup, test di ripristino</w:t>
      </w:r>
    </w:p>
    <w:p>
      <w:pPr>
        <w:pStyle w:val="Heading2"/>
      </w:pPr>
      <w:r>
        <w:t xml:space="preserve">m) Sviluppo, configurazione, manutenzione e dismissione dei sistemi informativi e di rete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PR.PS-01 (solo essenziali): Configurazioni di riferimento sicure (hardening) dei sistemi rilevanti</w:t>
      </w:r>
    </w:p>
    <w:p>
      <w:pPr>
        <w:pStyle w:val="Voce"/>
      </w:pPr>
      <w:r>
        <w:t xml:space="preserve">• PR.PS-02: Solo software con aggiornamenti di sicurezza, patch tempestive, test del software critico</w:t>
      </w:r>
    </w:p>
    <w:p>
      <w:pPr>
        <w:pStyle w:val="Voce"/>
      </w:pPr>
      <w:r>
        <w:t xml:space="preserve">• PR.PS-03 (solo essenziali): Dismissione sicura dei dispositivi di memorizzazione, registro delle manutenzioni hardware</w:t>
      </w:r>
    </w:p>
    <w:p>
      <w:pPr>
        <w:pStyle w:val="Voce"/>
      </w:pPr>
      <w:r>
        <w:t xml:space="preserve">• PR.PS-04: Log degli accessi remoti e amministrativi, conservati in modo sicuro con tempi definiti</w:t>
      </w:r>
    </w:p>
    <w:p>
      <w:pPr>
        <w:pStyle w:val="Voce"/>
      </w:pPr>
      <w:r>
        <w:t xml:space="preserve">• PR.PS-06: Pratiche di sviluppo sicuro del software</w:t>
      </w:r>
    </w:p>
    <w:p>
      <w:pPr>
        <w:pStyle w:val="Heading2"/>
      </w:pPr>
      <w:r>
        <w:t xml:space="preserve">n) Protezione delle reti e delle comunicazioni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PR.IR-01: Accessi remoti definiti e protetti, elenco dei sistemi accessibili da remoto, firewall</w:t>
      </w:r>
    </w:p>
    <w:p>
      <w:pPr>
        <w:pStyle w:val="Voce"/>
      </w:pPr>
      <w:r>
        <w:t xml:space="preserve">• PR.IR-03 (solo essenziali): Sistemi di comunicazione di emergenza protetti</w:t>
      </w:r>
    </w:p>
    <w:p>
      <w:pPr>
        <w:pStyle w:val="Heading2"/>
      </w:pPr>
      <w:r>
        <w:t xml:space="preserve">o) Monitoraggio degli eventi di sicurezza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DE.CM-01: Strumenti per rilevare gli incidenti significativi, livelli di servizio attesi, filtraggio del traffico e della posta, monitoraggio degli accessi</w:t>
      </w:r>
    </w:p>
    <w:p>
      <w:pPr>
        <w:pStyle w:val="Voce"/>
      </w:pPr>
      <w:r>
        <w:t xml:space="preserve">• DE.CM-09: Protezione degli endpoint contro il codice malevolo</w:t>
      </w:r>
    </w:p>
    <w:p>
      <w:pPr>
        <w:pStyle w:val="Heading2"/>
      </w:pPr>
      <w:r>
        <w:t xml:space="preserve">p) Risposta agli incidenti e ripristino</w:t>
      </w:r>
    </w:p>
    <w:p>
      <w:pPr>
        <w:pStyle w:val="Istruzione"/>
      </w:pPr>
      <w:r>
        <w:t xml:space="preserve">Scrivi la politica dell'organizzazione per questo ambito: chi fa cosa, con quali regole, con quale frequenza e dove resta traccia. Copri almeno i requisiti delle misure ACN elencate qui sotto.</w:t>
      </w:r>
    </w:p>
    <w:p>
      <w:r>
        <w:rPr>
          <w:highlight w:val="yellow"/>
        </w:rPr>
        <w:t xml:space="preserve">[Testo della politica]</w:t>
      </w:r>
    </w:p>
    <w:p>
      <w:pPr>
        <w:pStyle w:val="Voce"/>
      </w:pPr>
      <w:r>
        <w:t xml:space="preserve">• RS.MA-01: Piano di gestione degli incidenti e di notifica al CSIRT Italia, riesaminato almeno ogni due anni</w:t>
      </w:r>
    </w:p>
    <w:p>
      <w:pPr>
        <w:pStyle w:val="Voce"/>
      </w:pPr>
      <w:r>
        <w:t xml:space="preserve">• RS.CO-02: Procedure per informare i destinatari dei servizi su incidenti e minacce, e il pubblico se l'ACN lo richiede</w:t>
      </w:r>
    </w:p>
    <w:p>
      <w:pPr>
        <w:pStyle w:val="Voce"/>
      </w:pPr>
      <w:r>
        <w:t xml:space="preserve">• RC.RP-01: Procedure di ripristino dei sistemi colpiti da incidenti, dentro il piano incidenti</w:t>
      </w:r>
    </w:p>
    <w:p>
      <w:pPr>
        <w:pStyle w:val="Voce"/>
      </w:pPr>
      <w:r>
        <w:t xml:space="preserve">• RC.CO-03 (solo essenziali): Comunicazione interna delle attività di ripristino</w:t>
      </w:r>
    </w:p>
    <w:p>
      <w:pPr>
        <w:pStyle w:val="Heading1"/>
      </w:pPr>
      <w:r>
        <w:t xml:space="preserve">5. Diffusione</w:t>
      </w:r>
    </w:p>
    <w:p>
      <w:r>
        <w:t xml:space="preserve">La politica è resa nota alle articolazioni competenti secondo il principio della necessità di conoscere (need to know): </w:t>
      </w:r>
      <w:r>
        <w:rPr>
          <w:highlight w:val="yellow"/>
        </w:rPr>
        <w:t xml:space="preserve">[chi la riceve e come]</w:t>
      </w:r>
      <w:r>
        <w:t xml:space="preserve">.</w:t>
      </w:r>
    </w:p>
    <w:p>
      <w:pPr>
        <w:pStyle w:val="Heading1"/>
      </w:pPr>
      <w:r>
        <w:t xml:space="preserve">6. Riesame</w:t>
      </w:r>
    </w:p>
    <w:p>
      <w:pPr>
        <w:pStyle w:val="Nota"/>
      </w:pPr>
      <w:r>
        <w:t xml:space="preserve">Requisito ACN GV.PO-02, punto 1: «Le politiche di cui alla misura GV.PO-01 sono riesaminate e, se opportuno, aggiornate periodicamente e comunque almeno con cadenza annuale, nonché qualora si verifichino evoluzioni del contesto normativo in materia di sicurezza informatica, incidenti significativi, variazioni organizzative o mutamenti dell’esposizione alle minacce e ai relativi rischi.»</w:t>
      </w:r>
    </w:p>
    <w:p>
      <w:r>
        <w:t xml:space="preserve">La politica è riesaminata almeno una volta l'anno e dopo eventi rilevanti. Gli esiti sono registrati in </w:t>
      </w:r>
      <w:r>
        <w:rPr>
          <w:highlight w:val="yellow"/>
        </w:rPr>
        <w:t xml:space="preserve">[registro dei riesami]</w:t>
      </w:r>
      <w:r>
        <w:t xml:space="preserve">. Prossimo riesame: </w:t>
      </w:r>
      <w:r>
        <w:rPr>
          <w:highlight w:val="yellow"/>
        </w:rPr>
        <w:t xml:space="preserve">[gg/mm/aaaa]</w:t>
      </w:r>
      <w:r>
        <w:t xml:space="preserve">.</w:t>
      </w:r>
    </w:p>
    <w:p>
      <w:pPr>
        <w:pStyle w:val="Heading1"/>
      </w:pPr>
      <w:r>
        <w:t xml:space="preserve">7. Approvazione</w:t>
      </w:r>
    </w:p>
    <w:p>
      <w:pPr>
        <w:pStyle w:val="Nota"/>
      </w:pPr>
      <w:r>
        <w:t xml:space="preserve">Requisito ACN GV.PO-01, punto 3: «Le politiche di cui al punto 1 sono approvate dagli organi di amministrazione e direttivi e rese note alle articolazioni competenti del soggetto NIS tenuto anche conto della necessità di conoscere (need to know).»</w:t>
      </w:r>
    </w:p>
    <w:p>
      <w:r>
        <w:t xml:space="preserve">Approvata da </w:t>
      </w:r>
      <w:r>
        <w:rPr>
          <w:highlight w:val="yellow"/>
        </w:rPr>
        <w:t xml:space="preserve">[organo di amministrazione]</w:t>
      </w:r>
      <w:r>
        <w:t xml:space="preserve"> in data </w:t>
      </w:r>
      <w:r>
        <w:rPr>
          <w:highlight w:val="yellow"/>
        </w:rPr>
        <w:t xml:space="preserve">[gg/mm/aaaa]</w:t>
      </w:r>
      <w:r>
        <w:t xml:space="preserve">, delibera </w:t>
      </w:r>
      <w:r>
        <w:rPr>
          <w:highlight w:val="yellow"/>
        </w:rPr>
        <w:t xml:space="preserve">[riferimento]</w:t>
      </w:r>
      <w:r>
        <w:t xml:space="preserve">.</w:t>
      </w:r>
    </w:p>
    <w:p>
      <w:pPr>
        <w:pStyle w:val="Heading2"/>
      </w:pPr>
      <w:r>
        <w:t xml:space="preserve">Licenza</w:t>
      </w:r>
    </w:p>
    <w:p>
      <w:r>
        <w:t xml:space="preserve">Puoi usare e modificare questi modelli per la tua organizzazione. Non puoi rivenderli.</w:t>
      </w:r>
    </w:p>
    <w:sectPr>
      <w:pgSz w:w="11906" w:h="16838"/>
      <w:pgMar w:top="1417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sz w:val="24"/>
    </w:rPr>
  </w:style>
  <w:style w:type="paragraph" w:customStyle="1" w:styleId="Istruzione">
    <w:name w:val="Istruzione"/>
    <w:basedOn w:val="Normal"/>
    <w:rPr>
      <w:i/>
      <w:color w:val="555555"/>
    </w:rPr>
  </w:style>
  <w:style w:type="paragraph" w:customStyle="1" w:styleId="Nota">
    <w:name w:val="Nota"/>
    <w:basedOn w:val="Normal"/>
    <w:pPr>
      <w:pBdr>
        <w:top w:val="single" w:sz="4" w:space="4" w:color="999999"/>
        <w:left w:val="single" w:sz="4" w:space="4" w:color="999999"/>
        <w:bottom w:val="single" w:sz="4" w:space="4" w:color="999999"/>
        <w:right w:val="single" w:sz="4" w:space="4" w:color="999999"/>
      </w:pBdr>
    </w:pPr>
    <w:rPr>
      <w:sz w:val="20"/>
    </w:rPr>
  </w:style>
  <w:style w:type="paragraph" w:customStyle="1" w:styleId="Voce">
    <w:name w:val="Voce"/>
    <w:basedOn w:val="Normal"/>
    <w:pPr>
      <w:spacing w:after="60"/>
      <w:ind w:left="360" w:hanging="22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Politica di sicurezza informatica</dc:title>
  <dc:creator>Mokka Studios</dc:creator>
  <dc:language>it-IT</dc:language>
</cp:coreProperties>
</file>